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1" w:rsidRPr="00E079F9" w:rsidRDefault="00CF3918" w:rsidP="003035AF">
      <w:pPr>
        <w:rPr>
          <w:rFonts w:eastAsia="Calibri" w:cstheme="minorHAnsi"/>
          <w:i/>
        </w:rPr>
      </w:pPr>
      <w:bookmarkStart w:id="0" w:name="_GoBack"/>
      <w:bookmarkEnd w:id="0"/>
      <w:r w:rsidRPr="00E079F9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A48BE2" wp14:editId="54974267">
            <wp:simplePos x="0" y="0"/>
            <wp:positionH relativeFrom="column">
              <wp:posOffset>-885190</wp:posOffset>
            </wp:positionH>
            <wp:positionV relativeFrom="paragraph">
              <wp:posOffset>-893445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43" w:rsidRDefault="00116535" w:rsidP="00D03FE7">
      <w:pPr>
        <w:spacing w:after="120"/>
        <w:jc w:val="center"/>
        <w:rPr>
          <w:rFonts w:cstheme="minorHAnsi"/>
          <w:b/>
          <w:i/>
          <w:color w:val="0070C0"/>
          <w:sz w:val="28"/>
          <w:szCs w:val="28"/>
        </w:rPr>
      </w:pPr>
      <w:r>
        <w:rPr>
          <w:rFonts w:cstheme="minorHAnsi"/>
          <w:b/>
          <w:i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7FDC7F6" wp14:editId="3DED0188">
            <wp:simplePos x="0" y="0"/>
            <wp:positionH relativeFrom="column">
              <wp:posOffset>28575</wp:posOffset>
            </wp:positionH>
            <wp:positionV relativeFrom="paragraph">
              <wp:posOffset>209550</wp:posOffset>
            </wp:positionV>
            <wp:extent cx="13144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87" y="21491"/>
                <wp:lineTo x="2128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ma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902" w:rsidRPr="00071543" w:rsidRDefault="00807902" w:rsidP="00D03FE7">
      <w:pPr>
        <w:spacing w:after="120"/>
        <w:jc w:val="center"/>
        <w:rPr>
          <w:rFonts w:cstheme="minorHAnsi"/>
          <w:b/>
          <w:i/>
          <w:color w:val="0202BE"/>
          <w:sz w:val="32"/>
          <w:szCs w:val="32"/>
        </w:rPr>
      </w:pPr>
      <w:r w:rsidRPr="00071543">
        <w:rPr>
          <w:rFonts w:cstheme="minorHAnsi"/>
          <w:b/>
          <w:i/>
          <w:color w:val="0202BE"/>
          <w:sz w:val="32"/>
          <w:szCs w:val="32"/>
        </w:rPr>
        <w:t xml:space="preserve">Logika lokalności. Norweski i polski współczesny design </w:t>
      </w:r>
    </w:p>
    <w:p w:rsidR="00071543" w:rsidRPr="00071543" w:rsidRDefault="00807902" w:rsidP="00B6304A">
      <w:pPr>
        <w:pStyle w:val="NormalnyWeb"/>
        <w:spacing w:before="0" w:beforeAutospacing="0" w:after="0"/>
        <w:jc w:val="center"/>
        <w:rPr>
          <w:rFonts w:asciiTheme="minorHAnsi" w:eastAsiaTheme="minorHAnsi" w:hAnsiTheme="minorHAnsi" w:cstheme="minorHAnsi"/>
          <w:b/>
          <w:color w:val="0202BE"/>
          <w:sz w:val="28"/>
          <w:szCs w:val="28"/>
          <w:lang w:eastAsia="en-US"/>
        </w:rPr>
      </w:pPr>
      <w:r w:rsidRPr="00071543">
        <w:rPr>
          <w:rFonts w:asciiTheme="minorHAnsi" w:eastAsiaTheme="minorHAnsi" w:hAnsiTheme="minorHAnsi" w:cstheme="minorHAnsi"/>
          <w:b/>
          <w:color w:val="0202BE"/>
          <w:sz w:val="28"/>
          <w:szCs w:val="28"/>
          <w:lang w:eastAsia="en-US"/>
        </w:rPr>
        <w:t>1</w:t>
      </w:r>
      <w:r w:rsidR="00E079F9" w:rsidRPr="00071543">
        <w:rPr>
          <w:rFonts w:asciiTheme="minorHAnsi" w:eastAsiaTheme="minorHAnsi" w:hAnsiTheme="minorHAnsi" w:cstheme="minorHAnsi"/>
          <w:b/>
          <w:color w:val="0202BE"/>
          <w:sz w:val="28"/>
          <w:szCs w:val="28"/>
          <w:lang w:eastAsia="en-US"/>
        </w:rPr>
        <w:t>7</w:t>
      </w:r>
      <w:r w:rsidRPr="00071543">
        <w:rPr>
          <w:rFonts w:asciiTheme="minorHAnsi" w:eastAsiaTheme="minorHAnsi" w:hAnsiTheme="minorHAnsi" w:cstheme="minorHAnsi"/>
          <w:b/>
          <w:color w:val="0202BE"/>
          <w:sz w:val="28"/>
          <w:szCs w:val="28"/>
          <w:lang w:eastAsia="en-US"/>
        </w:rPr>
        <w:t xml:space="preserve"> grudnia 2016 – 26 marca 2017</w:t>
      </w:r>
      <w:r w:rsidR="00E079F9" w:rsidRPr="00071543">
        <w:rPr>
          <w:rFonts w:asciiTheme="minorHAnsi" w:eastAsiaTheme="minorHAnsi" w:hAnsiTheme="minorHAnsi" w:cstheme="minorHAnsi"/>
          <w:b/>
          <w:color w:val="0202BE"/>
          <w:sz w:val="28"/>
          <w:szCs w:val="28"/>
          <w:lang w:eastAsia="en-US"/>
        </w:rPr>
        <w:t xml:space="preserve"> </w:t>
      </w:r>
    </w:p>
    <w:p w:rsidR="00D03FE7" w:rsidRPr="00071543" w:rsidRDefault="00E079F9" w:rsidP="00B6304A">
      <w:pPr>
        <w:pStyle w:val="NormalnyWeb"/>
        <w:spacing w:before="0" w:beforeAutospacing="0" w:after="0"/>
        <w:jc w:val="center"/>
        <w:rPr>
          <w:rFonts w:asciiTheme="minorHAnsi" w:eastAsia="Calibri" w:hAnsiTheme="minorHAnsi" w:cstheme="minorHAnsi"/>
          <w:b/>
          <w:color w:val="0202BE"/>
          <w:sz w:val="22"/>
          <w:szCs w:val="22"/>
        </w:rPr>
      </w:pPr>
      <w:r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(wernisaż 16 grudnia, godz. 18.00)</w:t>
      </w:r>
    </w:p>
    <w:p w:rsidR="00116535" w:rsidRDefault="005104AC" w:rsidP="00B6304A">
      <w:pPr>
        <w:spacing w:after="120" w:line="240" w:lineRule="auto"/>
        <w:jc w:val="center"/>
        <w:rPr>
          <w:rFonts w:eastAsia="Calibri" w:cstheme="minorHAnsi"/>
          <w:b/>
          <w:color w:val="0202BE"/>
          <w:sz w:val="24"/>
          <w:szCs w:val="24"/>
        </w:rPr>
      </w:pPr>
      <w:r w:rsidRPr="002A192E">
        <w:rPr>
          <w:rFonts w:eastAsia="Calibri" w:cstheme="minorHAnsi"/>
          <w:b/>
          <w:color w:val="0202BE"/>
          <w:sz w:val="24"/>
          <w:szCs w:val="24"/>
        </w:rPr>
        <w:t>Galeria Międzynarodowego Centrum Kultury</w:t>
      </w:r>
      <w:r w:rsidR="00807902" w:rsidRPr="002A192E">
        <w:rPr>
          <w:rFonts w:eastAsia="Calibri" w:cstheme="minorHAnsi"/>
          <w:b/>
          <w:color w:val="0202BE"/>
          <w:sz w:val="24"/>
          <w:szCs w:val="24"/>
        </w:rPr>
        <w:t xml:space="preserve">, </w:t>
      </w:r>
    </w:p>
    <w:p w:rsidR="00330EEE" w:rsidRPr="002A192E" w:rsidRDefault="005104AC" w:rsidP="00B6304A">
      <w:pPr>
        <w:spacing w:after="120" w:line="240" w:lineRule="auto"/>
        <w:jc w:val="center"/>
        <w:rPr>
          <w:rFonts w:eastAsia="Calibri" w:cstheme="minorHAnsi"/>
          <w:b/>
          <w:color w:val="0202BE"/>
          <w:sz w:val="24"/>
          <w:szCs w:val="24"/>
        </w:rPr>
      </w:pPr>
      <w:r w:rsidRPr="002A192E">
        <w:rPr>
          <w:rFonts w:eastAsia="Calibri" w:cstheme="minorHAnsi"/>
          <w:b/>
          <w:color w:val="0202BE"/>
          <w:sz w:val="24"/>
          <w:szCs w:val="24"/>
        </w:rPr>
        <w:t>Kraków, Rynek Główny 25</w:t>
      </w:r>
      <w:r w:rsidR="00807902" w:rsidRPr="002A192E">
        <w:rPr>
          <w:rFonts w:eastAsia="Calibri" w:cstheme="minorHAnsi"/>
          <w:b/>
          <w:color w:val="0202BE"/>
          <w:sz w:val="24"/>
          <w:szCs w:val="24"/>
        </w:rPr>
        <w:tab/>
      </w:r>
    </w:p>
    <w:p w:rsidR="00B46CA0" w:rsidRPr="00E079F9" w:rsidRDefault="00B46CA0" w:rsidP="00330EEE">
      <w:pPr>
        <w:spacing w:after="0"/>
        <w:jc w:val="both"/>
        <w:rPr>
          <w:rFonts w:cstheme="minorHAnsi"/>
          <w:color w:val="FF0000"/>
        </w:rPr>
      </w:pPr>
    </w:p>
    <w:p w:rsidR="000F11B0" w:rsidRPr="00E079F9" w:rsidRDefault="0046169D" w:rsidP="00330EEE">
      <w:pPr>
        <w:spacing w:after="0"/>
        <w:jc w:val="both"/>
        <w:rPr>
          <w:rFonts w:cstheme="minorHAnsi"/>
          <w:color w:val="808080" w:themeColor="background1" w:themeShade="80"/>
        </w:rPr>
      </w:pPr>
      <w:r w:rsidRPr="00E079F9">
        <w:rPr>
          <w:rFonts w:cstheme="minorHAnsi"/>
          <w:i/>
          <w:color w:val="808080" w:themeColor="background1" w:themeShade="80"/>
        </w:rPr>
        <w:t>Na obecnym poziomie cywilizacyjnym możliwy jest rozwój zrównoważony, to jest taki rozwój, w którym potrzeby obecnego pokolenia mogą być zaspokojone bez umniejszania szans przyszłych pokoleń na ich zaspokojenie.</w:t>
      </w:r>
      <w:r w:rsidRPr="00E079F9">
        <w:rPr>
          <w:rFonts w:cstheme="minorHAnsi"/>
          <w:color w:val="808080" w:themeColor="background1" w:themeShade="80"/>
        </w:rPr>
        <w:t xml:space="preserve"> (pierwsze zdanie raportu Światowej Komisji ds. Środowiska i Rozwoju ONZ w 1987 r., znanego jako Raport </w:t>
      </w:r>
      <w:proofErr w:type="spellStart"/>
      <w:r w:rsidRPr="00E079F9">
        <w:rPr>
          <w:rFonts w:cstheme="minorHAnsi"/>
          <w:color w:val="808080" w:themeColor="background1" w:themeShade="80"/>
        </w:rPr>
        <w:t>Brundtland</w:t>
      </w:r>
      <w:proofErr w:type="spellEnd"/>
      <w:r w:rsidRPr="00E079F9">
        <w:rPr>
          <w:rFonts w:cstheme="minorHAnsi"/>
          <w:color w:val="808080" w:themeColor="background1" w:themeShade="80"/>
        </w:rPr>
        <w:t>)</w:t>
      </w:r>
    </w:p>
    <w:p w:rsidR="000F11B0" w:rsidRPr="00E079F9" w:rsidRDefault="000F11B0" w:rsidP="00330EEE">
      <w:pPr>
        <w:spacing w:after="0"/>
        <w:jc w:val="both"/>
        <w:rPr>
          <w:rFonts w:cstheme="minorHAnsi"/>
          <w:color w:val="FF0000"/>
        </w:rPr>
      </w:pPr>
    </w:p>
    <w:p w:rsidR="00676249" w:rsidRPr="00E079F9" w:rsidRDefault="00676249" w:rsidP="00330EEE">
      <w:pPr>
        <w:spacing w:after="0"/>
        <w:jc w:val="both"/>
        <w:rPr>
          <w:rFonts w:cstheme="minorHAnsi"/>
        </w:rPr>
      </w:pPr>
      <w:r w:rsidRPr="00E079F9">
        <w:rPr>
          <w:rFonts w:cstheme="minorHAnsi"/>
        </w:rPr>
        <w:t xml:space="preserve">Najważniejsze </w:t>
      </w:r>
      <w:r w:rsidR="000F11B0" w:rsidRPr="00E079F9">
        <w:rPr>
          <w:rFonts w:cstheme="minorHAnsi"/>
        </w:rPr>
        <w:t xml:space="preserve">słowo-klucz dla tej wystawy to </w:t>
      </w:r>
      <w:r w:rsidR="000F11B0" w:rsidRPr="00071543">
        <w:rPr>
          <w:rFonts w:cstheme="minorHAnsi"/>
          <w:b/>
          <w:color w:val="0202BE"/>
        </w:rPr>
        <w:t>lokalnoś</w:t>
      </w:r>
      <w:r w:rsidR="00E079F9" w:rsidRPr="00071543">
        <w:rPr>
          <w:rFonts w:cstheme="minorHAnsi"/>
          <w:b/>
          <w:color w:val="0202BE"/>
        </w:rPr>
        <w:t>ć</w:t>
      </w:r>
      <w:r w:rsidR="000F11B0" w:rsidRPr="00E079F9">
        <w:rPr>
          <w:rFonts w:cstheme="minorHAnsi"/>
        </w:rPr>
        <w:t xml:space="preserve">, w której </w:t>
      </w:r>
      <w:r w:rsidR="00071543">
        <w:rPr>
          <w:rFonts w:cstheme="minorHAnsi"/>
        </w:rPr>
        <w:t>ujawniają</w:t>
      </w:r>
      <w:r w:rsidR="000F11B0" w:rsidRPr="00E079F9">
        <w:rPr>
          <w:rFonts w:cstheme="minorHAnsi"/>
        </w:rPr>
        <w:t xml:space="preserve"> się punkty styczne norweskiego i polskiego d</w:t>
      </w:r>
      <w:r w:rsidR="006E6D35">
        <w:rPr>
          <w:rFonts w:cstheme="minorHAnsi"/>
        </w:rPr>
        <w:t>esignu</w:t>
      </w:r>
      <w:r w:rsidR="000F11B0" w:rsidRPr="00E079F9">
        <w:rPr>
          <w:rFonts w:cstheme="minorHAnsi"/>
        </w:rPr>
        <w:t xml:space="preserve">. </w:t>
      </w:r>
      <w:r w:rsidR="00071543">
        <w:rPr>
          <w:rFonts w:cstheme="minorHAnsi"/>
        </w:rPr>
        <w:t>Przy czym n</w:t>
      </w:r>
      <w:r w:rsidR="000F11B0" w:rsidRPr="00E079F9">
        <w:rPr>
          <w:rFonts w:cstheme="minorHAnsi"/>
        </w:rPr>
        <w:t xml:space="preserve">ie chodzi o folklor czy </w:t>
      </w:r>
      <w:r w:rsidR="00071543">
        <w:rPr>
          <w:rFonts w:cstheme="minorHAnsi"/>
        </w:rPr>
        <w:t xml:space="preserve">proste </w:t>
      </w:r>
      <w:r w:rsidR="000F11B0" w:rsidRPr="00E079F9">
        <w:rPr>
          <w:rFonts w:cstheme="minorHAnsi"/>
        </w:rPr>
        <w:t>odwzorow</w:t>
      </w:r>
      <w:r w:rsidR="00071543">
        <w:rPr>
          <w:rFonts w:cstheme="minorHAnsi"/>
        </w:rPr>
        <w:t>yw</w:t>
      </w:r>
      <w:r w:rsidR="000F11B0" w:rsidRPr="00E079F9">
        <w:rPr>
          <w:rFonts w:cstheme="minorHAnsi"/>
        </w:rPr>
        <w:t>anie</w:t>
      </w:r>
      <w:r w:rsidR="00071543" w:rsidRPr="00071543">
        <w:rPr>
          <w:rFonts w:cstheme="minorHAnsi"/>
        </w:rPr>
        <w:t xml:space="preserve"> </w:t>
      </w:r>
      <w:r w:rsidR="00071543">
        <w:rPr>
          <w:rFonts w:cstheme="minorHAnsi"/>
        </w:rPr>
        <w:t xml:space="preserve">ornamentu i ludowej formy, ale </w:t>
      </w:r>
      <w:r w:rsidR="00071543" w:rsidRPr="00071543">
        <w:rPr>
          <w:rFonts w:cstheme="minorHAnsi"/>
          <w:b/>
          <w:color w:val="0202BE"/>
        </w:rPr>
        <w:t>kreatywne czerpanie inspiracji</w:t>
      </w:r>
      <w:r w:rsidR="00071543">
        <w:rPr>
          <w:rFonts w:cstheme="minorHAnsi"/>
        </w:rPr>
        <w:t xml:space="preserve"> z tego, co najbardziej charakterystyczne dla danego miejsca, jego krajobrazu, topografii, klimatu, pamięci. A wszystko to z szacunkiem dla miejscowej tradycji i zwyczajów.</w:t>
      </w:r>
    </w:p>
    <w:p w:rsidR="00375653" w:rsidRPr="00E079F9" w:rsidRDefault="00071543" w:rsidP="00375653">
      <w:pPr>
        <w:pStyle w:val="NormalnyWeb"/>
        <w:spacing w:after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Wystaw</w:t>
      </w:r>
      <w:r w:rsidR="00156A6B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przybliża j</w:t>
      </w:r>
      <w:r w:rsidR="00375653"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ed</w:t>
      </w:r>
      <w:r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en</w:t>
      </w:r>
      <w:r w:rsidR="00375653"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 </w:t>
      </w:r>
      <w:r w:rsidR="00375653" w:rsidRPr="00B6304A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z </w:t>
      </w:r>
      <w:r w:rsidR="00F625FC" w:rsidRPr="00B6304A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 ważnych</w:t>
      </w:r>
      <w:r w:rsidR="00F625FC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 </w:t>
      </w:r>
      <w:r w:rsidR="00375653"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trendów zarówno</w:t>
      </w:r>
      <w:r w:rsidR="00807902"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 </w:t>
      </w:r>
      <w:r w:rsidR="00375653" w:rsidRPr="00071543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w polskim jak i norweskim designie</w:t>
      </w:r>
      <w:r w:rsidR="00181DD9" w:rsidRPr="00181DD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75653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jakim </w:t>
      </w:r>
      <w:r w:rsidR="00375653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jest projektowanie wykorzystujące rodzimą tradycję warsztatową i materiałową</w:t>
      </w:r>
      <w:r w:rsidR="00181DD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75653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 również idee zrównoważonego rozwoju. Ekspozycja będzie próbą ukazania wzajemnych polsko-norweskich korelacji</w:t>
      </w:r>
      <w:r w:rsidR="00807902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75653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punktów stycznych w designie </w:t>
      </w:r>
      <w:r w:rsidR="00375653"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ostatnich 15 lat</w:t>
      </w:r>
      <w:r w:rsidR="00375653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. Ilustracją tego zagadnienia będ</w:t>
      </w:r>
      <w:r w:rsidR="0046169D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375653"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75653"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prace zarówno już nagradzane i uznane w świecie jak</w:t>
      </w:r>
      <w:r w:rsidR="00181DD9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,</w:t>
      </w:r>
      <w:r w:rsidR="00375653"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 i te najnowsze</w:t>
      </w:r>
      <w:r w:rsidR="00375653" w:rsidRPr="002A192E">
        <w:rPr>
          <w:rFonts w:asciiTheme="minorHAnsi" w:eastAsiaTheme="minorHAnsi" w:hAnsiTheme="minorHAnsi" w:cstheme="minorHAnsi"/>
          <w:color w:val="0202BE"/>
          <w:sz w:val="22"/>
          <w:szCs w:val="22"/>
          <w:lang w:eastAsia="en-US"/>
        </w:rPr>
        <w:t>.</w:t>
      </w:r>
    </w:p>
    <w:p w:rsidR="008D1D04" w:rsidRPr="00E079F9" w:rsidRDefault="008D1D04" w:rsidP="008D1D04">
      <w:pPr>
        <w:pStyle w:val="NormalnyWeb"/>
        <w:spacing w:after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Wystawa zaprezentuje </w:t>
      </w:r>
      <w:r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blisko 100 prac</w:t>
      </w:r>
      <w:r w:rsidRPr="002A192E">
        <w:rPr>
          <w:rFonts w:asciiTheme="minorHAnsi" w:eastAsiaTheme="minorHAnsi" w:hAnsiTheme="minorHAnsi" w:cstheme="minorHAnsi"/>
          <w:color w:val="0202BE"/>
          <w:sz w:val="22"/>
          <w:szCs w:val="22"/>
          <w:lang w:eastAsia="en-US"/>
        </w:rPr>
        <w:t xml:space="preserve"> </w:t>
      </w:r>
      <w:r w:rsidR="0046169D"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kilkudziesięciu młodych polskich i norweskich designerów</w:t>
      </w:r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; meble, biżuterię, modę, a także mniej oczywiste obiekty, takie jak na przykład stojaki do rowerów…</w:t>
      </w:r>
    </w:p>
    <w:p w:rsidR="00375653" w:rsidRPr="00E079F9" w:rsidRDefault="00375653" w:rsidP="00375653">
      <w:pPr>
        <w:pStyle w:val="NormalnyWeb"/>
        <w:spacing w:after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Wśród</w:t>
      </w:r>
      <w:r w:rsidR="00F625FC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 designerów</w:t>
      </w:r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których projekty zostaną zaprezentowane w Galerii MCK znaleźli się m. in.</w:t>
      </w:r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Jan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Lutyk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Karina Królak, </w:t>
      </w:r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Joanna Rusin, Jan Godlewski, Paweł Jasiewicz,  Agnieszka Czop, studio  </w:t>
      </w:r>
      <w:proofErr w:type="spellStart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Malafor</w:t>
      </w:r>
      <w:proofErr w:type="spellEnd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AP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Dizajn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Fivetimesone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07902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Kristine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Five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Melvaer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Anderssen&amp;Voll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Andreas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Engesvik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Olle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Petter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Wul</w:t>
      </w:r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um</w:t>
      </w:r>
      <w:proofErr w:type="spellEnd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Stian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Korntvedt</w:t>
      </w:r>
      <w:proofErr w:type="spellEnd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Ruud</w:t>
      </w:r>
      <w:proofErr w:type="spellEnd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F625FC" w:rsidRPr="00B6304A">
        <w:t xml:space="preserve"> </w:t>
      </w:r>
      <w:proofErr w:type="spellStart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Vibeke</w:t>
      </w:r>
      <w:proofErr w:type="spellEnd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Skar</w:t>
      </w:r>
      <w:proofErr w:type="spellEnd"/>
      <w:r w:rsidR="00F625FC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Ida Noemi </w:t>
      </w:r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75653" w:rsidRPr="00E079F9" w:rsidRDefault="00375653" w:rsidP="00375653">
      <w:pPr>
        <w:pStyle w:val="NormalnyWeb"/>
        <w:spacing w:after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Wystawa zostanie wzbogacona polskimi eksponatami z Muzeum Etnograficznego w Krakowie oraz norweskimi z </w:t>
      </w:r>
      <w:proofErr w:type="spellStart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Sverresborg</w:t>
      </w:r>
      <w:proofErr w:type="spellEnd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Trøndelag</w:t>
      </w:r>
      <w:proofErr w:type="spellEnd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Folkemuseum</w:t>
      </w:r>
      <w:proofErr w:type="spellEnd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które będą przykładami tradycyjnego rzemiosła – źródła współczesnych inspiracji zarówno w kształtowaniu nowych form </w:t>
      </w:r>
      <w:r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jak i </w:t>
      </w:r>
      <w:r w:rsidR="00156A6B" w:rsidRPr="00B6304A">
        <w:rPr>
          <w:rFonts w:asciiTheme="minorHAnsi" w:eastAsiaTheme="minorHAnsi" w:hAnsiTheme="minorHAnsi" w:cstheme="minorHAnsi"/>
          <w:sz w:val="22"/>
          <w:szCs w:val="22"/>
          <w:lang w:eastAsia="en-US"/>
        </w:rPr>
        <w:t>filozofii oraz strategii dzisiejszego designu.</w:t>
      </w:r>
    </w:p>
    <w:p w:rsidR="008D3970" w:rsidRPr="00E079F9" w:rsidRDefault="008D3970" w:rsidP="00375653">
      <w:pPr>
        <w:pStyle w:val="NormalnyWeb"/>
        <w:spacing w:after="0"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079F9">
        <w:rPr>
          <w:rFonts w:asciiTheme="minorHAnsi" w:hAnsiTheme="minorHAnsi" w:cstheme="minorHAnsi"/>
          <w:b/>
          <w:sz w:val="22"/>
          <w:szCs w:val="22"/>
        </w:rPr>
        <w:t>Wystawa pod Honorowym Patronatem Prezydenta Miasta Krakowa Jacka Majchrowskiego</w:t>
      </w:r>
      <w:r w:rsidR="00AF06C2" w:rsidRPr="00E079F9">
        <w:rPr>
          <w:rFonts w:asciiTheme="minorHAnsi" w:hAnsiTheme="minorHAnsi" w:cstheme="minorHAnsi"/>
          <w:b/>
          <w:sz w:val="22"/>
          <w:szCs w:val="22"/>
        </w:rPr>
        <w:t>.</w:t>
      </w:r>
    </w:p>
    <w:p w:rsidR="00EF0948" w:rsidRPr="00E079F9" w:rsidRDefault="00EF0948" w:rsidP="00EF0948">
      <w:pPr>
        <w:pStyle w:val="NormalnyWeb"/>
        <w:spacing w:after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79F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Kuratorki wystawy</w:t>
      </w:r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dr Monika Rydiger, </w:t>
      </w:r>
      <w:proofErr w:type="spellStart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Solveig</w:t>
      </w:r>
      <w:proofErr w:type="spellEnd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t>Lønmo</w:t>
      </w:r>
      <w:proofErr w:type="spellEnd"/>
    </w:p>
    <w:p w:rsidR="00AA6262" w:rsidRPr="00E079F9" w:rsidRDefault="00AA6262" w:rsidP="00AA6262">
      <w:pPr>
        <w:pStyle w:val="NormalnyWeb"/>
        <w:spacing w:after="0" w:line="360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>Aranżacja plas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tyczna: </w:t>
      </w:r>
      <w:r w:rsidR="008D3970"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Paweł Żelichowski</w:t>
      </w:r>
    </w:p>
    <w:p w:rsidR="00E079F9" w:rsidRPr="009C6424" w:rsidRDefault="00E079F9" w:rsidP="00E079F9">
      <w:pPr>
        <w:pStyle w:val="NormalnyWeb"/>
        <w:spacing w:before="0" w:beforeAutospacing="0" w:after="0" w:line="360" w:lineRule="auto"/>
        <w:jc w:val="both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9C6424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>Koordynacja i organizacja</w:t>
      </w:r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>Åshild</w:t>
      </w:r>
      <w:proofErr w:type="spellEnd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>Adsen</w:t>
      </w:r>
      <w:proofErr w:type="spellEnd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, Anna Śliwa, Steffen </w:t>
      </w:r>
      <w:proofErr w:type="spellStart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>Wesselvold</w:t>
      </w:r>
      <w:proofErr w:type="spellEnd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>Holden</w:t>
      </w:r>
      <w:proofErr w:type="spellEnd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>Solveig</w:t>
      </w:r>
      <w:proofErr w:type="spellEnd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>Lønmo</w:t>
      </w:r>
      <w:proofErr w:type="spellEnd"/>
      <w:r w:rsidR="00F625FC" w:rsidRPr="009C6424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, </w:t>
      </w:r>
      <w:r w:rsidR="00F625FC" w:rsidRPr="00B6304A">
        <w:rPr>
          <w:rFonts w:asciiTheme="minorHAnsi" w:eastAsia="@Arial Unicode MS" w:hAnsiTheme="minorHAnsi" w:cstheme="minorHAnsi"/>
          <w:color w:val="000000"/>
          <w:sz w:val="22"/>
          <w:szCs w:val="22"/>
        </w:rPr>
        <w:t>Monika Rydiger</w:t>
      </w:r>
    </w:p>
    <w:p w:rsidR="00AA6262" w:rsidRPr="00E079F9" w:rsidRDefault="00AA6262" w:rsidP="00E079F9">
      <w:pPr>
        <w:pStyle w:val="NormalnyWeb"/>
        <w:spacing w:after="0" w:line="360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>Asystentka projektu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: Kama Guzik</w:t>
      </w:r>
    </w:p>
    <w:p w:rsidR="00AA6262" w:rsidRPr="00E079F9" w:rsidRDefault="00AA6262" w:rsidP="002834D2">
      <w:pPr>
        <w:pStyle w:val="NormalnyWeb"/>
        <w:spacing w:before="0" w:beforeAutospacing="0" w:after="0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Godziny otwarcia Galerii MCK: wtorek–niedziela 10:00–18:00 (ostatnie wejście 17:30)</w:t>
      </w:r>
    </w:p>
    <w:p w:rsidR="00632D38" w:rsidRDefault="00632D38" w:rsidP="002834D2">
      <w:pPr>
        <w:pStyle w:val="NormalnyWeb"/>
        <w:spacing w:before="0" w:beforeAutospacing="0" w:after="0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>
        <w:rPr>
          <w:rFonts w:asciiTheme="minorHAnsi" w:eastAsia="@Arial Unicode MS" w:hAnsiTheme="minorHAnsi" w:cstheme="minorHAnsi"/>
          <w:color w:val="000000"/>
          <w:sz w:val="22"/>
          <w:szCs w:val="22"/>
        </w:rPr>
        <w:t>Ceny biletów: 12 zł (pełnopłatny), 7 zł (ulgowy), 20 zł (rodzinny)</w:t>
      </w:r>
    </w:p>
    <w:p w:rsidR="00AA6262" w:rsidRPr="00E079F9" w:rsidRDefault="00AA6262" w:rsidP="002834D2">
      <w:pPr>
        <w:pStyle w:val="NormalnyWeb"/>
        <w:spacing w:before="0" w:beforeAutospacing="0" w:after="0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W każdy wtorek i środę w godzinach 10.00–11.00 HAPPY HOUR – wstęp na wystawę za 1 zł.</w:t>
      </w:r>
    </w:p>
    <w:p w:rsidR="00AA6262" w:rsidRPr="00E079F9" w:rsidRDefault="00AA6262" w:rsidP="00AA6262">
      <w:pPr>
        <w:pStyle w:val="NormalnyWeb"/>
        <w:spacing w:after="0" w:line="360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W każdą niedzielę, w cenie biletu zwiedzanie wystawy z przewodnikiem: godz. 12.00 w języku polskim i godz. 16.00 w języku angielskim.</w:t>
      </w:r>
    </w:p>
    <w:p w:rsidR="00AA6262" w:rsidRPr="00E079F9" w:rsidRDefault="00AA6262" w:rsidP="00AA6262">
      <w:pPr>
        <w:pStyle w:val="NormalnyWeb"/>
        <w:spacing w:after="0" w:line="360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>Katalog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, w polsko–angielskiej wersji językowej, zawiera reprodukcje wszystkich dzieł prezentowanych na wystawie oraz teksty krytyczne dotyczące </w:t>
      </w:r>
      <w:r w:rsidR="00375653"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d</w:t>
      </w:r>
      <w:r w:rsid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esignu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.</w:t>
      </w:r>
    </w:p>
    <w:p w:rsidR="002834D2" w:rsidRDefault="00AA6262" w:rsidP="002834D2">
      <w:pPr>
        <w:pStyle w:val="NormalnyWeb"/>
        <w:spacing w:before="0" w:beforeAutospacing="0" w:after="0" w:line="276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Wystawie towarzyszy </w:t>
      </w:r>
      <w:r w:rsidRPr="00E079F9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 xml:space="preserve">cykl wykładów, spotkań i zajęć edukacyjnych </w:t>
      </w: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pogłębiający i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poszerzający jej tematykę. </w:t>
      </w:r>
    </w:p>
    <w:p w:rsidR="008D3970" w:rsidRPr="006E6D35" w:rsidRDefault="008D3970" w:rsidP="002834D2">
      <w:pPr>
        <w:pStyle w:val="NormalnyWeb"/>
        <w:spacing w:before="0" w:beforeAutospacing="0" w:after="0" w:line="276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  <w:u w:val="single"/>
        </w:rPr>
        <w:t>Organizatorzy:</w:t>
      </w: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M</w:t>
      </w:r>
      <w:r w:rsidR="006E6D35"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iędzynarodowe </w:t>
      </w: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C</w:t>
      </w:r>
      <w:r w:rsid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entrum </w:t>
      </w: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K</w:t>
      </w:r>
      <w:r w:rsid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ultury</w:t>
      </w: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Museene</w:t>
      </w:r>
      <w:proofErr w:type="spellEnd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Sør-Trøndelag</w:t>
      </w:r>
      <w:proofErr w:type="spellEnd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Nordenfjeldske</w:t>
      </w:r>
      <w:proofErr w:type="spellEnd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Kunstindustrie</w:t>
      </w:r>
      <w:proofErr w:type="spellEnd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Museum</w:t>
      </w:r>
      <w:proofErr w:type="spellEnd"/>
    </w:p>
    <w:p w:rsidR="008D3970" w:rsidRPr="00E079F9" w:rsidRDefault="008D3970" w:rsidP="0046169D">
      <w:pPr>
        <w:pStyle w:val="NormalnyWeb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  <w:u w:val="single"/>
        </w:rPr>
        <w:t>Przy wsparciu finansowym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:  Ministerstwa Kultury i Dziedzictwa Narodowego, Gminy Miejskiej Kraków</w:t>
      </w:r>
    </w:p>
    <w:p w:rsidR="008D3970" w:rsidRPr="00E079F9" w:rsidRDefault="008D3970" w:rsidP="0046169D">
      <w:pPr>
        <w:pStyle w:val="NormalnyWeb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  <w:u w:val="single"/>
        </w:rPr>
        <w:t>Sponsor wydarzeń edukacyjnych: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Canson</w:t>
      </w:r>
      <w:proofErr w:type="spellEnd"/>
    </w:p>
    <w:p w:rsidR="0046169D" w:rsidRPr="00E079F9" w:rsidRDefault="008D3970" w:rsidP="0046169D">
      <w:pPr>
        <w:pStyle w:val="NormalnyWeb"/>
        <w:spacing w:after="0" w:line="360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  <w:u w:val="single"/>
        </w:rPr>
        <w:t>Partner MCK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: MPK</w:t>
      </w:r>
    </w:p>
    <w:p w:rsidR="00116535" w:rsidRPr="003C164C" w:rsidRDefault="00116535" w:rsidP="0046169D">
      <w:pPr>
        <w:pStyle w:val="NormalnyWeb"/>
        <w:spacing w:after="0" w:line="360" w:lineRule="auto"/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</w:pPr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 xml:space="preserve">Po pokazie w Krakowie wystawa zostanie zaprezentowana w </w:t>
      </w:r>
      <w:proofErr w:type="spellStart"/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>Nordenfjeldske</w:t>
      </w:r>
      <w:proofErr w:type="spellEnd"/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 xml:space="preserve"> </w:t>
      </w:r>
      <w:proofErr w:type="spellStart"/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>Kunstindustrie</w:t>
      </w:r>
      <w:proofErr w:type="spellEnd"/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 xml:space="preserve"> </w:t>
      </w:r>
      <w:proofErr w:type="spellStart"/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>Museum</w:t>
      </w:r>
      <w:proofErr w:type="spellEnd"/>
      <w:r w:rsidRPr="003C164C">
        <w:rPr>
          <w:rFonts w:asciiTheme="minorHAnsi" w:eastAsiaTheme="minorHAnsi" w:hAnsiTheme="minorHAnsi" w:cstheme="minorHAnsi"/>
          <w:b/>
          <w:color w:val="0000FF"/>
          <w:sz w:val="22"/>
          <w:szCs w:val="22"/>
          <w:lang w:eastAsia="en-US"/>
        </w:rPr>
        <w:t xml:space="preserve"> w dniach 6.04.2017 - 4.06.2017.</w:t>
      </w:r>
    </w:p>
    <w:p w:rsidR="0046169D" w:rsidRPr="00E079F9" w:rsidRDefault="0046169D" w:rsidP="00116535">
      <w:pPr>
        <w:pStyle w:val="NormalnyWeb"/>
        <w:spacing w:after="0"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79F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***</w:t>
      </w:r>
    </w:p>
    <w:p w:rsidR="002A192E" w:rsidRDefault="002A192E" w:rsidP="0046169D">
      <w:pPr>
        <w:pStyle w:val="NormalnyWeb"/>
        <w:spacing w:after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B6F32C" wp14:editId="159BCBC8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2676525" cy="1644650"/>
            <wp:effectExtent l="0" t="0" r="9525" b="0"/>
            <wp:wrapTight wrapText="bothSides">
              <wp:wrapPolygon edited="0">
                <wp:start x="0" y="0"/>
                <wp:lineTo x="0" y="21266"/>
                <wp:lineTo x="21523" y="21266"/>
                <wp:lineTo x="2152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-m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69D" w:rsidRPr="002A192E" w:rsidRDefault="0046169D" w:rsidP="0046169D">
      <w:pPr>
        <w:pStyle w:val="NormalnyWeb"/>
        <w:spacing w:after="0" w:line="360" w:lineRule="auto"/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</w:pPr>
      <w:r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dr Monika Rydiger, fragmenty tekstu z  </w:t>
      </w:r>
      <w:r w:rsidR="0093096B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 xml:space="preserve">katalogu </w:t>
      </w:r>
      <w:r w:rsidRPr="002A192E">
        <w:rPr>
          <w:rFonts w:asciiTheme="minorHAnsi" w:eastAsiaTheme="minorHAnsi" w:hAnsiTheme="minorHAnsi" w:cstheme="minorHAnsi"/>
          <w:b/>
          <w:color w:val="0202BE"/>
          <w:sz w:val="22"/>
          <w:szCs w:val="22"/>
          <w:lang w:eastAsia="en-US"/>
        </w:rPr>
        <w:t>wystawy:</w:t>
      </w:r>
    </w:p>
    <w:p w:rsidR="0046169D" w:rsidRPr="0093096B" w:rsidRDefault="0046169D" w:rsidP="002A192E">
      <w:pPr>
        <w:pStyle w:val="NormalnyWeb"/>
        <w:spacing w:after="0" w:line="360" w:lineRule="auto"/>
        <w:jc w:val="both"/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</w:pPr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Lokalność staje się dziś kategorią wyraźnie obecną zarówno w dyskursie potocznym, jak i naukowym – zwłaszcza socjologicznym i kulturoznawczym. Szczególnego znaczenia nabiera ona w analizach badających procesy redefiniowania bądź konstruowania na nowo tożsamości narodowych, regionalnych, osobistych . Powrót do lokalnych tradycji i zwyczajów, regionalnych potraw, rękodzieła, słownictwa to z jednej strony wyraz poszukiwania ciągłości, stałości w czasach płynnej egzystencji (jak określa ją Zygmunt Bauman), z drugiej zaś – strategia podkreślania odrębności w obawie przed globalnym ujednoliceniem. W tego rodzaju uwarunkowania wpisuje się współczesny design.</w:t>
      </w:r>
    </w:p>
    <w:p w:rsidR="0046169D" w:rsidRPr="0093096B" w:rsidRDefault="0046169D" w:rsidP="002A192E">
      <w:pPr>
        <w:pStyle w:val="NormalnyWeb"/>
        <w:spacing w:after="0" w:line="360" w:lineRule="auto"/>
        <w:jc w:val="both"/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</w:pPr>
      <w:proofErr w:type="spellStart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Deyan</w:t>
      </w:r>
      <w:proofErr w:type="spellEnd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 xml:space="preserve"> </w:t>
      </w:r>
      <w:proofErr w:type="spellStart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Sudjic</w:t>
      </w:r>
      <w:proofErr w:type="spellEnd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 xml:space="preserve">, dyrektor The Design </w:t>
      </w:r>
      <w:proofErr w:type="spellStart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Museum</w:t>
      </w:r>
      <w:proofErr w:type="spellEnd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 xml:space="preserve"> w Londynie, brytyjski krytyk designu i architektury, przyznaje, że „</w:t>
      </w:r>
      <w:proofErr w:type="spellStart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dizajn</w:t>
      </w:r>
      <w:proofErr w:type="spellEnd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 xml:space="preserve"> to język, którego społeczeństwo używa do tworzenia przedmiotów przedstawiających jego cele i wartość. Może być używany cynicznie, w sposób manipulatorski, albo twórczo i z określonym zamiarem. </w:t>
      </w:r>
      <w:proofErr w:type="spellStart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Dizajn</w:t>
      </w:r>
      <w:proofErr w:type="spellEnd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 xml:space="preserve"> to język ułatwiający zdefiniowanie lub zasygnalizowanie wartości. […] </w:t>
      </w:r>
      <w:proofErr w:type="spellStart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Dizajn</w:t>
      </w:r>
      <w:proofErr w:type="spellEnd"/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 xml:space="preserve"> może się także stać środkiem tworzenia poczucia tożsamości – obywatelskiej, zbiorowej czy osobistej” .</w:t>
      </w:r>
    </w:p>
    <w:p w:rsidR="0046169D" w:rsidRPr="0093096B" w:rsidRDefault="0046169D" w:rsidP="002A192E">
      <w:pPr>
        <w:pStyle w:val="NormalnyWeb"/>
        <w:spacing w:after="0" w:line="360" w:lineRule="auto"/>
        <w:jc w:val="both"/>
        <w:rPr>
          <w:rFonts w:asciiTheme="minorHAnsi" w:eastAsiaTheme="minorHAnsi" w:hAnsiTheme="minorHAnsi" w:cstheme="minorHAnsi"/>
          <w:color w:val="0202BE"/>
          <w:sz w:val="22"/>
          <w:szCs w:val="22"/>
          <w:lang w:eastAsia="en-US"/>
        </w:rPr>
      </w:pPr>
      <w:r w:rsidRPr="0093096B">
        <w:rPr>
          <w:rFonts w:asciiTheme="minorHAnsi" w:eastAsiaTheme="minorHAnsi" w:hAnsiTheme="minorHAnsi" w:cstheme="minorHAnsi"/>
          <w:i/>
          <w:color w:val="0202BE"/>
          <w:sz w:val="22"/>
          <w:szCs w:val="22"/>
          <w:lang w:eastAsia="en-US"/>
        </w:rPr>
        <w:t>Kategorie miejsca, nie-miejsca, lokalności wciąż zajmują ważną pozycję w dzisiejszej myśli kulturowej. Design, który coraz wyraźniej nabiera wymiaru dyscypliny kulturotwórczej, kreując wartości nie tylko komercyjne, ale także symboliczne, społeczne i polityczne, wydaje się jednym z istotnych elementów współczesnych korelacji zachodzących między globalnymi a lokalnymi tendencjami, z jakimi przyszło nam się mierzyć .</w:t>
      </w:r>
    </w:p>
    <w:p w:rsidR="00644EC9" w:rsidRDefault="00644EC9" w:rsidP="008D3970">
      <w:pPr>
        <w:pStyle w:val="NormalnyWeb"/>
        <w:pBdr>
          <w:bottom w:val="single" w:sz="4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  <w:r w:rsidRPr="00E079F9">
        <w:rPr>
          <w:rFonts w:asciiTheme="minorHAnsi" w:hAnsiTheme="minorHAnsi" w:cstheme="minorHAnsi"/>
          <w:sz w:val="22"/>
          <w:szCs w:val="22"/>
        </w:rPr>
        <w:t>/</w:t>
      </w:r>
      <w:r w:rsidR="00375653" w:rsidRPr="00E079F9">
        <w:rPr>
          <w:rFonts w:asciiTheme="minorHAnsi" w:hAnsiTheme="minorHAnsi" w:cstheme="minorHAnsi"/>
          <w:sz w:val="22"/>
          <w:szCs w:val="22"/>
        </w:rPr>
        <w:t>1</w:t>
      </w:r>
      <w:r w:rsidR="0046169D" w:rsidRPr="00E079F9">
        <w:rPr>
          <w:rFonts w:asciiTheme="minorHAnsi" w:hAnsiTheme="minorHAnsi" w:cstheme="minorHAnsi"/>
          <w:sz w:val="22"/>
          <w:szCs w:val="22"/>
        </w:rPr>
        <w:t>2</w:t>
      </w:r>
      <w:r w:rsidRPr="00E079F9">
        <w:rPr>
          <w:rFonts w:asciiTheme="minorHAnsi" w:hAnsiTheme="minorHAnsi" w:cstheme="minorHAnsi"/>
          <w:sz w:val="22"/>
          <w:szCs w:val="22"/>
        </w:rPr>
        <w:t>.2016/</w:t>
      </w:r>
    </w:p>
    <w:p w:rsidR="0093096B" w:rsidRPr="00E079F9" w:rsidRDefault="0093096B" w:rsidP="008D3970">
      <w:pPr>
        <w:pStyle w:val="NormalnyWeb"/>
        <w:pBdr>
          <w:bottom w:val="single" w:sz="4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</w:p>
    <w:p w:rsidR="00644EC9" w:rsidRPr="00E079F9" w:rsidRDefault="00644EC9" w:rsidP="00644EC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079F9">
        <w:rPr>
          <w:rFonts w:asciiTheme="minorHAnsi" w:hAnsiTheme="minorHAnsi" w:cstheme="minorHAnsi"/>
          <w:sz w:val="22"/>
          <w:szCs w:val="22"/>
        </w:rPr>
        <w:t xml:space="preserve">Stali patroni medialni: TVP 3 Kraków, Radio Kraków Małopolska, OFF Radio Kraków, Tygodnik Powszechny, Karnet, In </w:t>
      </w:r>
      <w:proofErr w:type="spellStart"/>
      <w:r w:rsidRPr="00E079F9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E079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79F9">
        <w:rPr>
          <w:rFonts w:asciiTheme="minorHAnsi" w:hAnsiTheme="minorHAnsi" w:cstheme="minorHAnsi"/>
          <w:sz w:val="22"/>
          <w:szCs w:val="22"/>
        </w:rPr>
        <w:t>pocket</w:t>
      </w:r>
      <w:proofErr w:type="spellEnd"/>
      <w:r w:rsidRPr="00E079F9">
        <w:rPr>
          <w:rFonts w:asciiTheme="minorHAnsi" w:hAnsiTheme="minorHAnsi" w:cstheme="minorHAnsi"/>
          <w:sz w:val="22"/>
          <w:szCs w:val="22"/>
        </w:rPr>
        <w:t xml:space="preserve">, Polski Portal Kultury O.pl, </w:t>
      </w:r>
      <w:proofErr w:type="spellStart"/>
      <w:r w:rsidRPr="00E079F9">
        <w:rPr>
          <w:rFonts w:asciiTheme="minorHAnsi" w:hAnsiTheme="minorHAnsi" w:cstheme="minorHAnsi"/>
          <w:sz w:val="22"/>
          <w:szCs w:val="22"/>
        </w:rPr>
        <w:t>Herito</w:t>
      </w:r>
      <w:proofErr w:type="spellEnd"/>
      <w:r w:rsidRPr="00E079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079F9">
        <w:rPr>
          <w:rFonts w:asciiTheme="minorHAnsi" w:hAnsiTheme="minorHAnsi" w:cstheme="minorHAnsi"/>
          <w:sz w:val="22"/>
          <w:szCs w:val="22"/>
        </w:rPr>
        <w:t>AHiCE</w:t>
      </w:r>
      <w:proofErr w:type="spellEnd"/>
    </w:p>
    <w:p w:rsidR="00E079F9" w:rsidRPr="00E079F9" w:rsidRDefault="00644EC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E079F9">
        <w:rPr>
          <w:rFonts w:asciiTheme="minorHAnsi" w:hAnsiTheme="minorHAnsi" w:cstheme="minorHAnsi"/>
          <w:sz w:val="22"/>
          <w:szCs w:val="22"/>
        </w:rPr>
        <w:t>Patroni medialni wystawy: Polskie Radio Program I, PAP, Telewizja M</w:t>
      </w:r>
      <w:r w:rsidR="00375653" w:rsidRPr="00E079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D3970" w:rsidRPr="00E079F9">
        <w:rPr>
          <w:rFonts w:asciiTheme="minorHAnsi" w:hAnsiTheme="minorHAnsi" w:cstheme="minorHAnsi"/>
          <w:sz w:val="22"/>
          <w:szCs w:val="22"/>
        </w:rPr>
        <w:t>Lounge</w:t>
      </w:r>
      <w:proofErr w:type="spellEnd"/>
      <w:r w:rsidR="008D3970" w:rsidRPr="00E079F9">
        <w:rPr>
          <w:rFonts w:asciiTheme="minorHAnsi" w:hAnsiTheme="minorHAnsi" w:cstheme="minorHAnsi"/>
          <w:sz w:val="22"/>
          <w:szCs w:val="22"/>
        </w:rPr>
        <w:t xml:space="preserve">, </w:t>
      </w:r>
      <w:r w:rsidR="003C164C">
        <w:rPr>
          <w:rFonts w:asciiTheme="minorHAnsi" w:hAnsiTheme="minorHAnsi" w:cstheme="minorHAnsi"/>
          <w:sz w:val="22"/>
          <w:szCs w:val="22"/>
        </w:rPr>
        <w:t>Weranda</w:t>
      </w:r>
      <w:r w:rsidR="00375653" w:rsidRPr="00E079F9">
        <w:rPr>
          <w:rFonts w:asciiTheme="minorHAnsi" w:hAnsiTheme="minorHAnsi" w:cstheme="minorHAnsi"/>
          <w:sz w:val="22"/>
          <w:szCs w:val="22"/>
        </w:rPr>
        <w:t>, SZUM</w:t>
      </w:r>
    </w:p>
    <w:sectPr w:rsidR="00E079F9" w:rsidRPr="00E079F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4" w:rsidRDefault="00ED5434" w:rsidP="001121CA">
      <w:pPr>
        <w:spacing w:after="0" w:line="240" w:lineRule="auto"/>
      </w:pPr>
      <w:r>
        <w:separator/>
      </w:r>
    </w:p>
  </w:endnote>
  <w:endnote w:type="continuationSeparator" w:id="0">
    <w:p w:rsidR="00ED5434" w:rsidRDefault="00ED5434" w:rsidP="001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7C" w:rsidRDefault="009A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4" w:rsidRDefault="00ED5434" w:rsidP="001121CA">
      <w:pPr>
        <w:spacing w:after="0" w:line="240" w:lineRule="auto"/>
      </w:pPr>
      <w:r>
        <w:separator/>
      </w:r>
    </w:p>
  </w:footnote>
  <w:footnote w:type="continuationSeparator" w:id="0">
    <w:p w:rsidR="00ED5434" w:rsidRDefault="00ED5434" w:rsidP="0011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BC"/>
    <w:multiLevelType w:val="hybridMultilevel"/>
    <w:tmpl w:val="DB56F8CE"/>
    <w:lvl w:ilvl="0" w:tplc="0BBEFA3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95D53"/>
    <w:multiLevelType w:val="hybridMultilevel"/>
    <w:tmpl w:val="DECAA678"/>
    <w:lvl w:ilvl="0" w:tplc="A9F0D49C"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6"/>
    <w:rsid w:val="00024EE1"/>
    <w:rsid w:val="00030B12"/>
    <w:rsid w:val="00034D1D"/>
    <w:rsid w:val="00042448"/>
    <w:rsid w:val="00047448"/>
    <w:rsid w:val="00054A6C"/>
    <w:rsid w:val="00064936"/>
    <w:rsid w:val="00071543"/>
    <w:rsid w:val="00077B2B"/>
    <w:rsid w:val="00082EE7"/>
    <w:rsid w:val="00084492"/>
    <w:rsid w:val="00092A7D"/>
    <w:rsid w:val="000A150B"/>
    <w:rsid w:val="000B5FE4"/>
    <w:rsid w:val="000B670B"/>
    <w:rsid w:val="000C1C24"/>
    <w:rsid w:val="000D2BEC"/>
    <w:rsid w:val="000E20CB"/>
    <w:rsid w:val="000F11B0"/>
    <w:rsid w:val="000F1323"/>
    <w:rsid w:val="000F3C6F"/>
    <w:rsid w:val="0010485C"/>
    <w:rsid w:val="00105867"/>
    <w:rsid w:val="001066B0"/>
    <w:rsid w:val="001121CA"/>
    <w:rsid w:val="00116468"/>
    <w:rsid w:val="00116535"/>
    <w:rsid w:val="00120844"/>
    <w:rsid w:val="00126134"/>
    <w:rsid w:val="00132F58"/>
    <w:rsid w:val="001545F7"/>
    <w:rsid w:val="00156A6B"/>
    <w:rsid w:val="00171A98"/>
    <w:rsid w:val="00181DD9"/>
    <w:rsid w:val="00182A9E"/>
    <w:rsid w:val="001A0140"/>
    <w:rsid w:val="001A47B1"/>
    <w:rsid w:val="001B1026"/>
    <w:rsid w:val="001B6056"/>
    <w:rsid w:val="001C5A66"/>
    <w:rsid w:val="001D458D"/>
    <w:rsid w:val="001D697E"/>
    <w:rsid w:val="001E6E73"/>
    <w:rsid w:val="001F43AD"/>
    <w:rsid w:val="00207D93"/>
    <w:rsid w:val="00214C28"/>
    <w:rsid w:val="002209A6"/>
    <w:rsid w:val="002425A3"/>
    <w:rsid w:val="002510EF"/>
    <w:rsid w:val="0027000F"/>
    <w:rsid w:val="00275C96"/>
    <w:rsid w:val="002810BF"/>
    <w:rsid w:val="002834D2"/>
    <w:rsid w:val="00285EC2"/>
    <w:rsid w:val="002929BA"/>
    <w:rsid w:val="002A192E"/>
    <w:rsid w:val="002B771B"/>
    <w:rsid w:val="002C2A32"/>
    <w:rsid w:val="002C6220"/>
    <w:rsid w:val="002F1236"/>
    <w:rsid w:val="002F27A6"/>
    <w:rsid w:val="002F6F33"/>
    <w:rsid w:val="003035AF"/>
    <w:rsid w:val="00303927"/>
    <w:rsid w:val="00315D9E"/>
    <w:rsid w:val="0032324E"/>
    <w:rsid w:val="00330EEE"/>
    <w:rsid w:val="00342151"/>
    <w:rsid w:val="00345802"/>
    <w:rsid w:val="00353DE9"/>
    <w:rsid w:val="0035535D"/>
    <w:rsid w:val="00355CFE"/>
    <w:rsid w:val="00363F3A"/>
    <w:rsid w:val="00375653"/>
    <w:rsid w:val="00377C59"/>
    <w:rsid w:val="00387B9E"/>
    <w:rsid w:val="003A2AEF"/>
    <w:rsid w:val="003C164C"/>
    <w:rsid w:val="003C2487"/>
    <w:rsid w:val="003C2E2F"/>
    <w:rsid w:val="003C5D60"/>
    <w:rsid w:val="003D4991"/>
    <w:rsid w:val="003E0F7C"/>
    <w:rsid w:val="003F1F74"/>
    <w:rsid w:val="004212CD"/>
    <w:rsid w:val="00421E49"/>
    <w:rsid w:val="004224BB"/>
    <w:rsid w:val="00434520"/>
    <w:rsid w:val="004615F5"/>
    <w:rsid w:val="0046169D"/>
    <w:rsid w:val="00464802"/>
    <w:rsid w:val="0047378C"/>
    <w:rsid w:val="00487AEA"/>
    <w:rsid w:val="00487BE3"/>
    <w:rsid w:val="004A1552"/>
    <w:rsid w:val="004A6079"/>
    <w:rsid w:val="004B7315"/>
    <w:rsid w:val="004C439A"/>
    <w:rsid w:val="004C4EF4"/>
    <w:rsid w:val="004D2277"/>
    <w:rsid w:val="004D264B"/>
    <w:rsid w:val="004D3321"/>
    <w:rsid w:val="004D36F9"/>
    <w:rsid w:val="004D55BD"/>
    <w:rsid w:val="004F0752"/>
    <w:rsid w:val="004F17EB"/>
    <w:rsid w:val="0050064A"/>
    <w:rsid w:val="005033B3"/>
    <w:rsid w:val="005104AC"/>
    <w:rsid w:val="00532B0C"/>
    <w:rsid w:val="005353EE"/>
    <w:rsid w:val="00540FD0"/>
    <w:rsid w:val="005464BF"/>
    <w:rsid w:val="00550DB7"/>
    <w:rsid w:val="00551E56"/>
    <w:rsid w:val="00555328"/>
    <w:rsid w:val="005665F3"/>
    <w:rsid w:val="00566D91"/>
    <w:rsid w:val="00572DE1"/>
    <w:rsid w:val="0057389A"/>
    <w:rsid w:val="00580E04"/>
    <w:rsid w:val="005943CB"/>
    <w:rsid w:val="005B0146"/>
    <w:rsid w:val="005B348C"/>
    <w:rsid w:val="005B57DD"/>
    <w:rsid w:val="005B5D03"/>
    <w:rsid w:val="005C66F6"/>
    <w:rsid w:val="005E28FE"/>
    <w:rsid w:val="005F14C9"/>
    <w:rsid w:val="00601284"/>
    <w:rsid w:val="0060343A"/>
    <w:rsid w:val="00606B32"/>
    <w:rsid w:val="006070A3"/>
    <w:rsid w:val="00614472"/>
    <w:rsid w:val="00624498"/>
    <w:rsid w:val="006303A8"/>
    <w:rsid w:val="00632D38"/>
    <w:rsid w:val="0064443A"/>
    <w:rsid w:val="00644EC9"/>
    <w:rsid w:val="0064610F"/>
    <w:rsid w:val="006471C4"/>
    <w:rsid w:val="0065332D"/>
    <w:rsid w:val="00655155"/>
    <w:rsid w:val="00656063"/>
    <w:rsid w:val="00656D27"/>
    <w:rsid w:val="0067295E"/>
    <w:rsid w:val="00676249"/>
    <w:rsid w:val="00696A72"/>
    <w:rsid w:val="006A2ACD"/>
    <w:rsid w:val="006A3BEF"/>
    <w:rsid w:val="006B1B84"/>
    <w:rsid w:val="006C6A1D"/>
    <w:rsid w:val="006D3C0F"/>
    <w:rsid w:val="006D4B4A"/>
    <w:rsid w:val="006E2ACB"/>
    <w:rsid w:val="006E3CCF"/>
    <w:rsid w:val="006E6D35"/>
    <w:rsid w:val="006F65BD"/>
    <w:rsid w:val="0070769A"/>
    <w:rsid w:val="007170B3"/>
    <w:rsid w:val="00721350"/>
    <w:rsid w:val="00731EFA"/>
    <w:rsid w:val="00782395"/>
    <w:rsid w:val="00786450"/>
    <w:rsid w:val="007A1117"/>
    <w:rsid w:val="007C3F27"/>
    <w:rsid w:val="007E34BB"/>
    <w:rsid w:val="007E5295"/>
    <w:rsid w:val="007E7654"/>
    <w:rsid w:val="007F2DE4"/>
    <w:rsid w:val="007F4879"/>
    <w:rsid w:val="007F59B1"/>
    <w:rsid w:val="00807902"/>
    <w:rsid w:val="00814B1B"/>
    <w:rsid w:val="00832F8E"/>
    <w:rsid w:val="00835A81"/>
    <w:rsid w:val="0085152E"/>
    <w:rsid w:val="00881B98"/>
    <w:rsid w:val="0088654F"/>
    <w:rsid w:val="00893C46"/>
    <w:rsid w:val="008A114D"/>
    <w:rsid w:val="008A565D"/>
    <w:rsid w:val="008A5DE3"/>
    <w:rsid w:val="008A75EE"/>
    <w:rsid w:val="008C3789"/>
    <w:rsid w:val="008C37D3"/>
    <w:rsid w:val="008C59F8"/>
    <w:rsid w:val="008C5D28"/>
    <w:rsid w:val="008D1D04"/>
    <w:rsid w:val="008D3970"/>
    <w:rsid w:val="008D4385"/>
    <w:rsid w:val="008E1237"/>
    <w:rsid w:val="00903723"/>
    <w:rsid w:val="00913BCF"/>
    <w:rsid w:val="00920EAA"/>
    <w:rsid w:val="00923535"/>
    <w:rsid w:val="0093096B"/>
    <w:rsid w:val="00930B0C"/>
    <w:rsid w:val="009312A9"/>
    <w:rsid w:val="00935009"/>
    <w:rsid w:val="009413DC"/>
    <w:rsid w:val="009429D9"/>
    <w:rsid w:val="00942ED8"/>
    <w:rsid w:val="00966B99"/>
    <w:rsid w:val="00972C96"/>
    <w:rsid w:val="00973688"/>
    <w:rsid w:val="009A0CDC"/>
    <w:rsid w:val="009A237C"/>
    <w:rsid w:val="009A6F58"/>
    <w:rsid w:val="009B4979"/>
    <w:rsid w:val="009B5405"/>
    <w:rsid w:val="009C0822"/>
    <w:rsid w:val="009C5211"/>
    <w:rsid w:val="009C6424"/>
    <w:rsid w:val="009D2DFD"/>
    <w:rsid w:val="009E68AD"/>
    <w:rsid w:val="009F3AF9"/>
    <w:rsid w:val="009F649E"/>
    <w:rsid w:val="00A02204"/>
    <w:rsid w:val="00A03DDC"/>
    <w:rsid w:val="00A113FF"/>
    <w:rsid w:val="00A11F41"/>
    <w:rsid w:val="00A1218B"/>
    <w:rsid w:val="00A14A01"/>
    <w:rsid w:val="00A24754"/>
    <w:rsid w:val="00A32521"/>
    <w:rsid w:val="00A366D9"/>
    <w:rsid w:val="00A3680F"/>
    <w:rsid w:val="00A37AD1"/>
    <w:rsid w:val="00A42A25"/>
    <w:rsid w:val="00A536E3"/>
    <w:rsid w:val="00A5613C"/>
    <w:rsid w:val="00A62EDF"/>
    <w:rsid w:val="00A66F2D"/>
    <w:rsid w:val="00A97565"/>
    <w:rsid w:val="00AA128D"/>
    <w:rsid w:val="00AA5359"/>
    <w:rsid w:val="00AA6262"/>
    <w:rsid w:val="00AC64F6"/>
    <w:rsid w:val="00AF06C2"/>
    <w:rsid w:val="00AF071F"/>
    <w:rsid w:val="00B02030"/>
    <w:rsid w:val="00B04789"/>
    <w:rsid w:val="00B07ECA"/>
    <w:rsid w:val="00B12798"/>
    <w:rsid w:val="00B30A99"/>
    <w:rsid w:val="00B46389"/>
    <w:rsid w:val="00B46CA0"/>
    <w:rsid w:val="00B6304A"/>
    <w:rsid w:val="00B72E1D"/>
    <w:rsid w:val="00B96276"/>
    <w:rsid w:val="00BB13D8"/>
    <w:rsid w:val="00BC0B4E"/>
    <w:rsid w:val="00BD4F5B"/>
    <w:rsid w:val="00BF11D8"/>
    <w:rsid w:val="00C01E85"/>
    <w:rsid w:val="00C2030E"/>
    <w:rsid w:val="00C32B84"/>
    <w:rsid w:val="00C45C6B"/>
    <w:rsid w:val="00C55CB5"/>
    <w:rsid w:val="00C561F4"/>
    <w:rsid w:val="00C61D0C"/>
    <w:rsid w:val="00C74319"/>
    <w:rsid w:val="00C83B60"/>
    <w:rsid w:val="00C841BC"/>
    <w:rsid w:val="00CA19DE"/>
    <w:rsid w:val="00CB5CEB"/>
    <w:rsid w:val="00CC35CD"/>
    <w:rsid w:val="00CC69FE"/>
    <w:rsid w:val="00CD21BC"/>
    <w:rsid w:val="00CE38B5"/>
    <w:rsid w:val="00CF161B"/>
    <w:rsid w:val="00CF3918"/>
    <w:rsid w:val="00D01067"/>
    <w:rsid w:val="00D03FE7"/>
    <w:rsid w:val="00D2385E"/>
    <w:rsid w:val="00D24293"/>
    <w:rsid w:val="00D34F04"/>
    <w:rsid w:val="00D35A91"/>
    <w:rsid w:val="00D37557"/>
    <w:rsid w:val="00D527B1"/>
    <w:rsid w:val="00D84CD6"/>
    <w:rsid w:val="00D87541"/>
    <w:rsid w:val="00D87923"/>
    <w:rsid w:val="00D949F3"/>
    <w:rsid w:val="00D96240"/>
    <w:rsid w:val="00DA6F5A"/>
    <w:rsid w:val="00DB7BC4"/>
    <w:rsid w:val="00DC5D4D"/>
    <w:rsid w:val="00DD22AF"/>
    <w:rsid w:val="00DE4098"/>
    <w:rsid w:val="00E05DA4"/>
    <w:rsid w:val="00E079F9"/>
    <w:rsid w:val="00E07A2B"/>
    <w:rsid w:val="00E13644"/>
    <w:rsid w:val="00E159B7"/>
    <w:rsid w:val="00E16828"/>
    <w:rsid w:val="00E2549C"/>
    <w:rsid w:val="00E261E2"/>
    <w:rsid w:val="00E42234"/>
    <w:rsid w:val="00E43D4E"/>
    <w:rsid w:val="00E45000"/>
    <w:rsid w:val="00E46842"/>
    <w:rsid w:val="00E515A8"/>
    <w:rsid w:val="00E5595D"/>
    <w:rsid w:val="00E641FB"/>
    <w:rsid w:val="00E72FA8"/>
    <w:rsid w:val="00E74821"/>
    <w:rsid w:val="00E802AB"/>
    <w:rsid w:val="00E901BB"/>
    <w:rsid w:val="00E93FD9"/>
    <w:rsid w:val="00EA12B0"/>
    <w:rsid w:val="00ED5434"/>
    <w:rsid w:val="00EE1AB9"/>
    <w:rsid w:val="00EE4A3A"/>
    <w:rsid w:val="00EF0948"/>
    <w:rsid w:val="00EF2905"/>
    <w:rsid w:val="00F15287"/>
    <w:rsid w:val="00F214E2"/>
    <w:rsid w:val="00F625FC"/>
    <w:rsid w:val="00F74F55"/>
    <w:rsid w:val="00F76D27"/>
    <w:rsid w:val="00F85879"/>
    <w:rsid w:val="00F91FCF"/>
    <w:rsid w:val="00F922F6"/>
    <w:rsid w:val="00F92D42"/>
    <w:rsid w:val="00F94216"/>
    <w:rsid w:val="00FA18C3"/>
    <w:rsid w:val="00FB281B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paragraph" w:styleId="Nagwek1">
    <w:name w:val="heading 1"/>
    <w:basedOn w:val="Normalny"/>
    <w:next w:val="Normalny"/>
    <w:link w:val="Nagwek1Znak"/>
    <w:uiPriority w:val="9"/>
    <w:qFormat/>
    <w:rsid w:val="004D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F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CA"/>
  </w:style>
  <w:style w:type="paragraph" w:styleId="Stopka">
    <w:name w:val="footer"/>
    <w:basedOn w:val="Normalny"/>
    <w:link w:val="Stopka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CA"/>
  </w:style>
  <w:style w:type="paragraph" w:styleId="Akapitzlist">
    <w:name w:val="List Paragraph"/>
    <w:basedOn w:val="Normalny"/>
    <w:uiPriority w:val="34"/>
    <w:qFormat/>
    <w:rsid w:val="00E468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04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paragraph" w:styleId="Nagwek1">
    <w:name w:val="heading 1"/>
    <w:basedOn w:val="Normalny"/>
    <w:next w:val="Normalny"/>
    <w:link w:val="Nagwek1Znak"/>
    <w:uiPriority w:val="9"/>
    <w:qFormat/>
    <w:rsid w:val="004D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F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CA"/>
  </w:style>
  <w:style w:type="paragraph" w:styleId="Stopka">
    <w:name w:val="footer"/>
    <w:basedOn w:val="Normalny"/>
    <w:link w:val="Stopka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CA"/>
  </w:style>
  <w:style w:type="paragraph" w:styleId="Akapitzlist">
    <w:name w:val="List Paragraph"/>
    <w:basedOn w:val="Normalny"/>
    <w:uiPriority w:val="34"/>
    <w:qFormat/>
    <w:rsid w:val="00E468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04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784">
          <w:marLeft w:val="0"/>
          <w:marRight w:val="0"/>
          <w:marTop w:val="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8E94-C805-4DE3-99FD-946280E7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rydigerm</dc:creator>
  <cp:lastModifiedBy>Edyta Gajewska</cp:lastModifiedBy>
  <cp:revision>2</cp:revision>
  <cp:lastPrinted>2016-12-13T10:39:00Z</cp:lastPrinted>
  <dcterms:created xsi:type="dcterms:W3CDTF">2016-12-15T09:33:00Z</dcterms:created>
  <dcterms:modified xsi:type="dcterms:W3CDTF">2016-12-15T09:33:00Z</dcterms:modified>
</cp:coreProperties>
</file>